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firstLine="28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center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Сценарий занятия на тему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«День Военно-морского флота»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center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center"/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280"/>
        <w:jc w:val="center"/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left"/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center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Москва, 2024</w:t>
        <w:br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left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Цель занятия: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укрепить патриотические ценности молодежи личным примером участника СВО.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Задачи занятия: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●  рассказать о Дне Военно-морского флота Российской Федерации и его истории;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● сформировать чувство гордости за российский флот и уважение к защитникам Отечества;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after="4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● описать ключевые аспекты роли ВМФ России в специальной военной операции, подчеркнуть многофункциональность и важность флота как в боевых действиях, так и в поддерживающих миссиях.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after="40"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Формирующиеся ценности: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numPr>
          <w:ilvl w:val="0"/>
          <w:numId w:val="6"/>
        </w:numPr>
        <w:ind w:left="1440" w:hanging="36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патриотизм;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6"/>
        </w:numPr>
        <w:ind w:left="1440" w:hanging="36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служение Отечеству и ответственность за его судьбу;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6"/>
        </w:numPr>
        <w:ind w:left="1440" w:hanging="36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достоинство, взаимопомощь и взаимоуважение;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6"/>
        </w:numPr>
        <w:ind w:left="1440" w:hanging="36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сохранение исторической памяти: знание истории страны, гордость за ее победы и героев.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44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Целевая аудитория: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12–17 лет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Продолжительность занятия: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45 минут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Рекомендуемая форма занятия: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диалог с героем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720" w:firstLine="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Материалы для занятия: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1080" w:hanging="36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презентация;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080" w:hanging="360"/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сценарий лекции.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3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Всем добрый день, меня зовут_______!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Наше сегодняшнее занятие посвящено Дню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Военно-морского флота Российской Федерации. Этот праздник отмечается в последнее воскресенье июля и является профессиональным праздником всех действующих служащих, а также ветеранов ВМФ.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Военно-морской флот России выполняет важные функции по защите национальных инт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ересов страны в Мировом океане, обеспечению безопасности судоходства, проведению научных исследований, разведке и добыче минеральных ресурсов на морском дне. Морские границы России являются самыми протяженными в мире и составляют около 39 тысяч километров.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3011" cy="211667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12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943011" cy="2116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4.25pt;height:16.67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 xml:space="preserve">Кто знает, когда был учрежден День Военно-морского флота? (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rtl w:val="0"/>
        </w:rPr>
        <w:t xml:space="preserve">Ответ: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 xml:space="preserve">в 1939 году)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День Военно-морского флота России — это праздник с глубокой историей и богатыми традициями. В 1939 году правительство СССР постановило ежегодно 24 июля чествовать тех, кто стоит на страже морских рубежей Родины. С тех пор многое изменилось,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 даже дата празднования, но одно осталось по-прежнему: каждое лето в День ВМФ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сердце страны бьется в унисон с волнами наших морей.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 улицах Санкт-Петербурга, Севастополя и Вл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адивостока царит особая атмосфера. Гул двигателей боевых кораблей, яркие всполохи флагов на мачтах, блеск униформы морской пехоты — все это создает неповторимое зрелище. Толпы зрителей замирают, наблюдая за демонстрацией военной техники и оружия, показываю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щей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мощь и грацию современно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флота. В небе проносятся самолеты, оставляя за собой бело-сине-красные следы.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Э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тот день — не только парады и показательные выступления,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но также время памяти и скорби.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тишине торжественной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минуты молчания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вспоминают тех, кто отдал свою жизнь в морских битвах,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возлагают к памятникам и мемориалам венки.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этот момент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весь шум города отступает перед величием подвига павших героев.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Современные реалии добавляют новые краски в этот праздник. Все больше внимания уделяется экологическим проблемам, вызванным морской деятельностью. В п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раздничный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день организуются акции по очистке берегов и прибрежных зон от мусора, ведь море требует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к себ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 бережного отношения и заботы.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День ВМФ — это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не только торжество для военнослужащих, но и возможность для каждого гражданина выразить свою благодарность и уважение тем, кто защищает морские рубежи нашей страны. Это праздник, в котором переплетаются гордость и печаль, мощь и забота, прошлое и будущее.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4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3011" cy="211667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12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943011" cy="2116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74.25pt;height:16.67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 xml:space="preserve">А знаете ли вы, кт</w:t>
      </w: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 xml:space="preserve">о построил первый флот в России? (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rtl w:val="0"/>
        </w:rPr>
        <w:t xml:space="preserve">ответ: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 xml:space="preserve">Петр I)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before="240" w:after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История военно-морского флота России начинается в глубинах XVII века, когда молодой царь Петр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I смело и решительно начал ст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роить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военные корабли,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способные противостоять любому врагу.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after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1695–1696 годах в Москве и Воронеже зарождался Азовский флот. Именно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оттуда суда спускались по Дону для взятия Азова, который в то время был турецкой крепостью. Под звуки молотов и скрип старых деревянных подмостей, из-под рук умелых мастеров выходили корабли, которые сыграли решающую роль в борьбе за выход к Черному морю.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after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1702–1703 годах, на новгородской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 псковской верфях, началось строительство первых боевых кораблей для Балтийского флота. Каждый корабль был не просто судном, а символом новой России, устремленной в будущее. Балтийский флот стал основой для дальнейшего развития военно-морских сил страны.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after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Кульминацией этой эпохи стало Гангутское сражение 1714 года. На морских просторах, среди холодных вод Балтики русские моряки под командованием Петра I вступили в смертельную схватку со шведами.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Наш флот,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сражаясь отчаянно и мужественно, одерж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ал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первую крупную победу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над давним врагом.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Гангутское сражение укрепило позиции России на Балтике и подтвердило правоту петровских реформ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Благодаря этому оно навсегда вписано 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летопись российской военной славы.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after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История военно-морского флота России — это не просто череда событий, а эпопея о мужестве, решительности и вере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народа 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великое будущее своей Родины.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5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before="240" w:after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 время Великой Отечественной войны Военно-морской флот Советского Союза был одним из ключевых элементов обороны страны.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after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Его важность была особенно заметна в условиях блокады Ленинграда, когда моряки Балтийского флота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героически защищали город от врага. Их мужество и самоотверженность не знали границ: ежедневно, несмотря на ужасающие условия и смертельную опасность, они сражались за жизнь города. Без их усилий, возможно, история России могла бы сложиться совсем иначе.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Так, например, Ладожская военная флотилия продолжала плавание до середины января, когда лед уже начал сковывать озеро. В тяжелейших условиях моряки осуществляли героические рейсы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переправляя людей 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грузы через этот единственный путь к осажденному городу. Морозы были столь сильны, что воздух сам, казалось, замерзал, а враг не прекращал своих атак. Однако, несмотря на это, они продолжали свою миссию, понимая, что каждая их успешная переправа — это жизн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ь ты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сяч людей.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after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Также операции морского десанта б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ыли настоящими актами отчаянного героизма. Сражаясь за каждый клочок родной земли, б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ойцы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освобождали города и населенные пункты от фашистской оккупации. Не раз бросались в бой, осознавая, что возвращения может не быть, но зная, что каждый их шаг приближает долгожданную свободу. Атакуя вражеские корабли,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десантники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не только уничтожали их, но и создавали непреодолимые препятствия для вражеских войск, стремящихся проникнуть дальше вглубь территории СССР. Море становилось ареной жестоких сражений, где исход каждого боя мог решить судьбу целого фронта.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after="24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Таким образом, Военно-морской флот сыграл ключевую роль в победе над фашизмом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П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одвиги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моряков 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авсегда останутся в памяти поколений как символ несгибаемой воли и беспримерного мужества.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Вот некоторая статистика того времени: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Перевезено более 2,5 миллионов человек с оружием и другими необходимыми вещами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апример, в первые месяцы во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йны транспортный флот Балтийского пароходства обеспечил воинские перевозки и эвакуацию приморских плацдармов, выполнив, несмотря на большие потери, свой долг. За шесть месяцев военных действий Балтийское морское пароходство потеряло 14 транспортных судов.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Доставлено более 100 миллионов тонн различных грузов, включая оружие, еду и медикаменты. Это помогло поддерживать боеспособность армии и обеспечивать население всем необходимым. Например, одним из первых городов, встретивших натиск гитлеровцев, стал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 Одесса. Город жил во многом благодаря своему порту — единственному выходу из вражеского кольца. Каждая погрузка и выгрузка сопровождалась обстрелом или бомбардировкой. Были дни, когда гитлеровцы выпускали по порту свыше 250 крупнокалиберных снарядов. Люд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 не уходили с причалов, работая по 15-16 часов без отдыха. А темпы обработки судов намного перекрывали все рекорды мирного времени. 36 часов вместо 5 суток понадобилось, например, чтобы разгрузить пароход «Ташкент», пришедший в Одессу с грузом для фронта.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Проведено более 100 десантных операций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которые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часто оказывались решающими в битве. Например,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наступательная операция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Красной армии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проведенная с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26 декабря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1941 года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2 января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1942 года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войсками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Закавказского фронта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при содействии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Черноморского флота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Азовской военной флотилии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 целью уничтожения керченской группировки вермахта из состава г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руппы армий «Юг»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закончилась последующим развитием наступления советской армии вглубь полуострова, деблокацией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Севастополя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 освобождением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Крыма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Операция закончилась победой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Советского Союза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беспечено более 100 успешных выходов подводных лодок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которые 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спользовались для атаки вражеских кораблей и защиты своих.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Все эти действия были очень важны для победы в Великой Отечественной войне и продемонстрировали, насколько эффективным может быть военно-морской флот в боевых условиях.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Слайды 6, 7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Военно-морской флот России — это мощная си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ла, которая стоит на страже морских границ нашей страны. В его составе самые современные и технологически совершенные корабли, подводные лодки и самолеты. Моряки и летчики ВМФ — настоящие профессионалы своего дела, готовые к выполнению самых сложных задач.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Военно-морской флот РФ включает в себя подводный и надводный флот, морскую авиацию, береговые войска и вспомогательные службы.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3011" cy="211667"/>
                <wp:effectExtent l="0" t="0" r="0" b="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12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943011" cy="2116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74.25pt;height:16.67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 xml:space="preserve">Кто знает, что входит в состав этих подразделений ВМФ?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 xml:space="preserve">(Дискуссия с участниками)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numPr>
          <w:ilvl w:val="0"/>
          <w:numId w:val="4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Подводный флот состоит из атомных и дизельных подлодок для разведки, атаки и обороны.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Надводный флот включает в себя различные корабли: крейсеры, эсминцы, фрегаты и корветы.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Морская авиация состоит из самолетов и вертолетов для разведки, атаки и поддержки в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ойск с воздуха.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Береговые войска включают в себя морскую пехоту, артиллерию и ракетные войска.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Вспомогательные службы обеспечивают логистику, ремонт и техническое обслуживание флота.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Военно-морской флот России — это не просто военная сила,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 гордос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ть нашей страны. Его возможности впеча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тляют: от операций в открытом море до борьбы с подводными лодками противника. Но флот не ограничивается только обороной. Он активно участвует в международных операциях, таких как борьба с пиратством и терроризмом, демонстрируя свою готовность к сотрудничес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тву.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Это делает ВМФ России не только гарантом безопасности нашей страны, но и надежным партнером в поддержании стабильности на мировой арене.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3011" cy="211667"/>
                <wp:effectExtent l="0" t="0" r="0" b="0"/>
                <wp:docPr id="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12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943011" cy="21166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74.25pt;height:16.67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 xml:space="preserve">Какие флоты есть в России?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России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четыре флота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 одна флотилия, каждый выполняет уникальные задачи: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0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Северный флот дислоцируется в Мурманске и Архангельске, отвечает за защиту северных морских путей и арктического региона, имеет мощные подводные лодки и ледоколы для работы в экстремальных условиях.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0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Тихоокеанский флот дислоцируется во Владивостоке, отвечает за безопасность восточных морских границ и защиту интересов в Тихом океане, оснащен надводными кораблями, подводными лодками и развитой авиацией.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0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Балтийский флот дислоцирован в Калининграде и Санкт-Петербурге, защищает западные морские границы и безопасность Балтийского моря, имеет надводные и подводные корабли, а также авиацию.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0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Черноморский флот дислоцируется в Севастополе, отвечает за безопасность южных морских границ и включает в себя надводные и подводные лодки, а также авиацию.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0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Каспийская флотилия дислоцируется в городе Каспийске, отвечает за обеспечение национальной безопасности и противодействие терроризму в регионе Каспийского моря. В ее составе несколько бригад и дивизионов кораблей, а также береговые войска.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8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Роль ВМФ России в специальной военной операции имеет несколько ключевых аспектов: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Поддержка наземных сил: ВМФ обеспечивает огневую поддержку с моря, включая артиллерийские и ракетные удары по позициям противника, что способствует успешному ведению боевых действий на суше.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Разведка и наблюдение: с помощью подводных лодок и надводных кораблей ВМФ собирает информацию о передвижениях и расположении сил противника.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Блокада и контроль морских путей: флот предотвращает поступление материалов и ресурсов к противнику и контролирует собственные логистические маршруты.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Обеспечение безопасности: ВМФ предотвращает угрозы со стороны иностранных военных сил в районе операции.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Участие в гуманитарных миссиях: флот участвует в доставке гуманитарной помощи и эвакуации гражданских лиц из зоны конфликта.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Таким образом, ВМФ России играет важную роль в специальной военной операции, обеспечивая как боевые, так и поддерживающие функции.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before="240" w:after="24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Базовые рекомендации по публичным выступлениям </w:t>
        <w:br/>
        <w:t xml:space="preserve">перед разными группами слушателей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80" w:firstLine="425"/>
        <w:jc w:val="both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современном мире, где знания – безусловная ценность, умение эффективно доносить до аудитории информацию является ключевым навыком для любого профессионала.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0" w:firstLine="425"/>
        <w:jc w:val="both"/>
        <w:spacing w:line="26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0" w:firstLine="425"/>
        <w:jc w:val="both"/>
        <w:spacing w:line="26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Взаимодействие с различными возрастными группами во многом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основывается на принципах возрастной психологии, описанной в трудах российских специалистов в области социальной и политической психологии. Ключевую роль в установлении эффективной коммуникации между лектором и аудиторией играет понимание принципов работы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психологических механизмов личности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обладание знаниями об особенностях мышления, восприятия и поведения представителей той или иной социальной группы.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00" w:firstLine="425"/>
        <w:jc w:val="both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00" w:firstLine="425"/>
        <w:jc w:val="both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Восприятие лектора аудиторией зависит от уровня ее психологического развития и ведущей деятельности. В Табли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це 1 кратко изложены особенности восприятия информации различными социальными группами, а также даны практические примеры и рекомендации, которые помогут вам установить контакт с любой аудиторией и сделать ваше сообщение более запоминающимся и эффективным.</w:t>
      </w:r>
      <w: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00"/>
        <w:jc w:val="right"/>
        <w:spacing w:line="266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Таблица 1</w:t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sdt>
      <w:sdtPr>
        <w15:appearance w15:val="boundingBox"/>
        <w:lock w:val="contentLocked"/>
        <w:tag w:val="goog_rdk_0"/>
        <w:rPr/>
      </w:sdtPr>
      <w:sdtContent>
        <w:tbl>
          <w:tblPr>
            <w:tblStyle w:val="890"/>
            <w:tblpPr w:horzAnchor="text" w:tblpX="-6" w:vertAnchor="text" w:tblpY="1" w:leftFromText="180" w:topFromText="180" w:rightFromText="180" w:bottomFromText="180"/>
            <w:tblW w:w="10245" w:type="dxa"/>
            <w:tbl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insideH w:val="none" w:color="000000" w:sz="0" w:space="0"/>
              <w:insideV w:val="none" w:color="000000" w:sz="0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1510"/>
            <w:gridCol w:w="1624"/>
            <w:gridCol w:w="1995"/>
            <w:gridCol w:w="1455"/>
            <w:gridCol w:w="3660"/>
            <w:tblGridChange w:id="0">
              <w:tblGrid>
                <w:gridCol w:w="1510"/>
                <w:gridCol w:w="1624"/>
                <w:gridCol w:w="1995"/>
                <w:gridCol w:w="1455"/>
                <w:gridCol w:w="3660"/>
              </w:tblGrid>
            </w:tblGridChange>
          </w:tblGrid>
          <w:tr>
            <w:tblPrEx/>
            <w:trPr>
              <w:cantSplit w:val="false"/>
              <w:trHeight w:val="460"/>
            </w:trPr>
            <w:tc>
              <w:tcPr>
                <w:gridSpan w:val="5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jc w:val="center"/>
                  <w:spacing w:before="240" w:after="24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Особенности восприятия разных возрастных групп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124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jc w:val="center"/>
                  <w:spacing w:before="240" w:after="24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Возрастная группа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jc w:val="center"/>
                  <w:spacing w:before="240" w:after="24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Ведущая деятельность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jc w:val="center"/>
                  <w:spacing w:before="240" w:after="24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Базовая психологическая характеристика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jc w:val="center"/>
                  <w:spacing w:before="240" w:after="24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Что ценят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jc w:val="center"/>
                  <w:spacing w:before="240" w:after="24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Общие рекомендации для лекторов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124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Дети 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(до 12 лет)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Игра, учеба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Активны </w:t>
                  <w:br/>
                  <w:t xml:space="preserve">и любознательны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Интерактивные задания </w:t>
                  <w:br/>
                  <w:t xml:space="preserve">и наглядные материалы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Говорите простым языком, выбирайте короткие предложения. Используйте яркие иллюстрации, игры, занимательные упражнения.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159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Подростки 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(13–17 лет)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Учеба, общение со сверстниками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Часто испытывают сильные эмоции </w:t>
                  <w:br/>
                  <w:t xml:space="preserve">и стремятся </w:t>
                  <w:br/>
                  <w:t xml:space="preserve">к самовыражению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Честность </w:t>
                  <w:br/>
                  <w:t xml:space="preserve">и открытость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right="1098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Используйте реальные примеры и ситуации, понятные подросткам, </w:t>
                  <w:br/>
                  <w:t xml:space="preserve">а также факты и статистику, чтобы сделать свою речь убедительнее. Предоставьте возможность задавать вам вопросы и высказывать свое мнение.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1185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Студенты и молодые специалисты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(18–30 лет)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Профессиональное становление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В большей степени руководствуются логикой, ценят аргументы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Статус и престиж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Используйте факты и статистику, </w:t>
                  <w:br/>
                  <w:t xml:space="preserve">чтобы сделать свою речь убедительнее. Предоставьте возможности </w:t>
                  <w:br/>
                  <w:t xml:space="preserve">для обсуждения и обмена мнениями.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228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Взрослые 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(30–60 лет)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Профессиональная реализация, семейная реализация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В большей степени руководствуются логикой, ценят аргументы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Достижения самого лектора, опыт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Учитывайт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е занятость взрослой аудитории и предоставляйте информацию в удобном для слушателей формате. Используйте их опыт и знания в качестве отправной точки для обсуждения. Используйте факты и статистику. Предоставьте возможности </w:t>
                  <w:br/>
                  <w:t xml:space="preserve">для обсуждения и обмена мнениями.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237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Пожилые люди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(60+)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Общение </w:t>
                  <w:br/>
                  <w:t xml:space="preserve">с семьей </w:t>
                  <w:br/>
                  <w:t xml:space="preserve">и друзьями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Ценят уважение </w:t>
                  <w:br/>
                  <w:t xml:space="preserve">и внимание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Богатый жизненный опыт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Учитывайте физическое состояние слушателей и предоставляйте информацию в удобном для них формате. Используйте их опыт и знания в качестве отправной точки для обсуждения. Используйте факты и статистику. Предоставьте возможности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для обсуждения и обмена мнениями.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</w:tbl>
      </w:sdtContent>
    </w:sdt>
    <w:p>
      <w:pPr>
        <w:ind w:right="100"/>
        <w:jc w:val="right"/>
        <w:spacing w:line="266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ind w:firstLine="566"/>
        <w:jc w:val="both"/>
        <w:spacing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Помимо понимания психологических характеристик аудитории, вы должны обратить внимание на свой главный инструмент —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речь.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Большое значе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ние имеют речевые конструкты и метапрограммы (неосознанные фильтры восприятия, которые определяют, как человек воспринимает, организует и использует информацию), которые важно использовать при подготовке тезисов лекции для разных аудиторий (см. Таблицу 2).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Таблица 2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dt>
      <w:sdtPr>
        <w15:appearance w15:val="boundingBox"/>
        <w:lock w:val="contentLocked"/>
        <w:tag w:val="goog_rdk_1"/>
        <w:rPr/>
      </w:sdtPr>
      <w:sdtContent>
        <w:tbl>
          <w:tblPr>
            <w:tblStyle w:val="891"/>
            <w:tblpPr w:horzAnchor="text" w:tblpXSpec="left" w:vertAnchor="text" w:tblpY="1" w:leftFromText="180" w:topFromText="180" w:rightFromText="180" w:bottomFromText="180"/>
            <w:tblW w:w="10245" w:type="dxa"/>
            <w:tbl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insideH w:val="none" w:color="000000" w:sz="0" w:space="0"/>
              <w:insideV w:val="none" w:color="000000" w:sz="0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2535"/>
            <w:gridCol w:w="3900"/>
            <w:gridCol w:w="3810"/>
            <w:tblGridChange w:id="1">
              <w:tblGrid>
                <w:gridCol w:w="2535"/>
                <w:gridCol w:w="3900"/>
                <w:gridCol w:w="3810"/>
              </w:tblGrid>
            </w:tblGridChange>
          </w:tblGrid>
          <w:tr>
            <w:tblPrEx/>
            <w:trPr>
              <w:cantSplit w:val="false"/>
              <w:trHeight w:val="430"/>
            </w:trPr>
            <w:tc>
              <w:tcPr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Метапрограммы для разных возрастных групп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775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Возрастная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группа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Метапрограммы </w:t>
                  <w:br/>
                  <w:t xml:space="preserve">и ключевые слова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Темп речи </w:t>
                  <w:br/>
                  <w:t xml:space="preserve">и интонация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3045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firstLine="141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Дети 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firstLine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(до 12 лет)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Фокус на настоящем времени.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сейчас, сегодня, немедленно, сразу, быстро.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Конкретность и простота.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ясно, просто, точно, прямо, понятно.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Фокус на действии и активности.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делать, действовать, двигаться, участвовать, играть.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Любопытство и желание учиться.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узнавать, исследовать, открываться, учиться.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Темп речи: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медленный и четкий, </w:t>
                  <w:br/>
                  <w:t xml:space="preserve">с паузами между ключевыми идеями.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Интонации: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разнообразные, с использованием высоких и низких тонов, чтобы привлечь внимание </w:t>
                  <w:br/>
                  <w:t xml:space="preserve">и удержать интерес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385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firstLine="141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Подростки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firstLine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(13-17 лет)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Фокус на будущем.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завтра, впереди, будущее, следующий, предстоящий.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Стремление к независимости и самоутверждению.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самостоятельно, независимо, свободно, уверенно, смело.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Желание принимать причины и следствия.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почему, как, причина, результат, следствие.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Потребность в социальном признании и принадлежности.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вместе, сообщество, команда, поддержка, общение.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Темп речи: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средний, с возможностью ускорения </w:t>
                  <w:br/>
                  <w:t xml:space="preserve">для передачи энергии и энтузиазма.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Интонации: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выразительные, с использованием разных тонов и ритма, чтобы передать эмоции </w:t>
                  <w:br/>
                  <w:t xml:space="preserve">и подчеркнуть важные моменты.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1845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Студенты и молодые специалисты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(18–30 лет)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Взрослые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(30–60 лет)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Практичность и рациональность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эффективно, разумно, практично, целесообразно, логично.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Стремление к достижение целей и успеху.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цель, достижение, успех, победа, результат.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Темп речи: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умеренный, с возможностью замедления для подчеркивания важных моментов.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Интонации: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ровные и спокойные, с использованием логических пауз и акцентов для передачи информации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blPrEx/>
            <w:trPr>
              <w:cantSplit w:val="false"/>
              <w:trHeight w:val="3850"/>
            </w:trPr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Пожилые люди 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ind w:left="141" w:firstLine="0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(60+)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bottom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Фокус на прошлом опыте и воспоминаниям.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раньше, когда-то, память, история, прошлое.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Уважение к традициям и авторитетам.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традиции, правила, авторитет, порядок, старшие.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Осторожность и консервативность.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осторожно, безопасно, стабильно, надежно, проверено.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  <w:rtl w:val="0"/>
                  </w:rPr>
                  <w:t xml:space="preserve">Потребность в эмоциональной поддержке и понимании.</w:t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Слова: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эмпатия, понимание, поддержка, забота, любовь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0" w:type="dxa"/>
                  <w:top w:w="20" w:type="dxa"/>
                  <w:right w:w="20" w:type="dxa"/>
                </w:tcMar>
                <w:vAlign w:val="center"/>
                <w:textDirection w:val="lrTb"/>
                <w:noWrap w:val="false"/>
              </w:tcPr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Темп речи: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медленный и четкий, </w:t>
                  <w:br/>
                  <w:t xml:space="preserve">с паузами между ключевыми идеями.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Интонации: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мягкие и спокойные, с использованием низких тонов, чтобы не напрягать слух </w:t>
                  <w:br/>
                  <w:t xml:space="preserve">и создать атмосферу доверия и комфорта.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</w:tbl>
      </w:sdtContent>
    </w:sdt>
    <w:p>
      <w:pPr>
        <w:ind w:left="0" w:firstLine="566"/>
        <w:jc w:val="both"/>
        <w:spacing w:before="240" w:after="24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Кроме языковых конструктов, на аудиторию производят впечатление невербальные сигналы от лектора: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жесты, дресс-код.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566"/>
        <w:jc w:val="both"/>
        <w:spacing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Вы можете использовать общие правила жестикуляции в зависимости от количества слушателей: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5"/>
        </w:numPr>
        <w:ind w:left="720" w:hanging="360"/>
        <w:jc w:val="both"/>
        <w:spacing w:before="240" w:after="0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маленькой группы (4–6 человек) подойдут мелкие жесты, задействующие кисти,  то есть от запястья до кончиков пальцев. В таком тесном кругу слушатели, вероятно, будут более пристально смотреть на ваше лицо, а не на телодвижения.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5"/>
        </w:numPr>
        <w:ind w:left="720" w:hanging="36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средней группы (7–40 человек) 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еобходимо слегка увеличить масштаб жестов, задействовать не только кисти, но и предплечья. Руки лучше располагать на уровне шеи, движение начинать от локтя. По-прежнему важно контролировать мимику  и выражение лица, так как сидящие близко хорошо его видят.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5"/>
        </w:numPr>
        <w:ind w:left="720" w:hanging="360"/>
        <w:jc w:val="both"/>
        <w:spacing w:before="0" w:beforeAutospacing="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большой группы (40–100 человек) движения рук должны стать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более крупными  и объемными. Начинайте задействовать верхнюю часть руки, не забывая о предплечьях. Руки желательно держать на уровне плеч и груди. Также рекомендуется использовать окружающее пространство, выходя из-за трибуны и перемещаясь перед зрителями.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before="24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Жесты, которых следует избегать при работе с любой аудиторией: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7"/>
        </w:numPr>
        <w:ind w:left="720" w:hanging="360"/>
        <w:jc w:val="both"/>
        <w:spacing w:before="240" w:after="0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Руки, спрятанные за спиной, и сложенные на груди руки. Эти два жеста подчеркивают вашу скованность и закрытость, подрывает доверие публики.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7"/>
        </w:numPr>
        <w:ind w:left="720" w:hanging="36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Руки в карманах. Это выдает ваше волнение или безразличие к происходящему. Допускается для непринужденности убирать в карман только одну руку, но буквально  на пару минут.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7"/>
        </w:numPr>
        <w:ind w:left="720" w:hanging="360"/>
        <w:jc w:val="both"/>
        <w:spacing w:before="0" w:beforeAutospacing="0" w:after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«Лапки кенгуру». Локти прижаты к телу, а кисти робко совершают вялые и мелкие движения. Это выдает вашу неуверенность и скованность.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таблице 3 представлены рекомендации по дресс-коду, которые помогут подготовиться к выступлению для разных возрастных групп.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Таблица 3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892"/>
        <w:tblW w:w="968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2842"/>
        <w:gridCol w:w="6846"/>
        <w:tblGridChange w:id="2">
          <w:tblGrid>
            <w:gridCol w:w="2842"/>
            <w:gridCol w:w="6846"/>
          </w:tblGrid>
        </w:tblGridChange>
      </w:tblGrid>
      <w:tr>
        <w:tblPrEx/>
        <w:trPr>
          <w:cantSplit w:val="false"/>
          <w:trHeight w:val="4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before="240" w:after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Рекомендуемый дресс-код при работе с аудиторией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4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before="240" w:after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Возрастная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before="240" w:after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Дресс-код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6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Дети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after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(до 12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Одежда должна быть аккуратной и опрятной, но не слишком формальной. Допус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тима одежда ярких цветов (например бренды армия России, Народный фронт и другие). Избегайте спортивного стиля одежды, шорт, бридж и тапочек, отдайте предпочтение джинсам, брюкам, футболкам, поло, свитшотам, свитерам и более официальным элементам гардероба.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6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spacing w:before="24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Подростки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(13-17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Современная и стильная одежда. Можно одеться в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тиле кэжуал, </w:t>
              <w:br/>
              <w:t xml:space="preserve">но с элементами формальности. Цвета могут быть более темными </w:t>
              <w:br/>
              <w:t xml:space="preserve">или нейтральными. Избегайте спортивного стиля одежды, шорт, бридж и тапочек, отдайте брюкам, поло, свитшотам, свитерам, кардиганам, пиджакам и более официальным элементам гардероба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9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Студенты </w:t>
              <w:br/>
              <w:t xml:space="preserve">и молодые  специалисты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(18-30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Взрослые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(30-60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Формальный или полуформальный стиль одежды. Классический костюм (брюки и пиджак), чтобы подчеркнуть серьезность. Цвета могут быть более темными или нейтральными.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6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Пожилые люди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(60+)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Классический и элегантный стиль одежды. Консервативный костюм.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before="240" w:after="240"/>
        <w:rPr>
          <w:rFonts w:ascii="Arial" w:hAnsi="Arial" w:eastAsia="Arial" w:cs="Arial"/>
          <w:sz w:val="28"/>
          <w:szCs w:val="28"/>
        </w:rPr>
      </w:pPr>
      <w:r>
        <w:rPr>
          <w:rtl w:val="0"/>
        </w:rPr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Приведенные в памятке методы взаимодействия с аудиторией станут для вас отличным подспорьем при подготовке выступления и работе с аудиторией.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Однако следует помнить, что каждый человек уникален и не всегда слушатели могут соответствовать типичным потребностям своей возрастной группы. Поэтому рекомендуется быть гибкими и адаптировать подход к конкретной аудитории. </w:t>
      </w:r>
      <w:sdt>
        <w:sdtPr>
          <w15:appearance w15:val="boundingBox"/>
          <w:showingPlcHdr w:val="true"/>
          <w:tag w:val="goog_rdk_2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Если есть возможность, лучше исследовать аудиторию заранее: попробуйте как можно больше узнать об интересах слушателей, уровне их знаний и ожиданиях от лекции.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/>
      <w:sdt>
        <w:sdtPr>
          <w15:appearance w15:val="boundingBox"/>
          <w:showingPlcHdr w:val="true"/>
          <w:tag w:val="goog_rdk_3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Что делать, если аудитория «тяжелая»: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Постарайтесь не переживать.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Вдохните и выдохните. Ваша аудитория – это такие же люди, как вы. Они заинтересованы в том, что вы говорите.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Поддерживайте позитивную атмосферу.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Сопровождайте свою информацию уместным юмором и забавными историями, чтобы сделать лекцию более приятной и запоминающейся.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Стимулируйте участие аудитории.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Поощряйте вопросы и комментарии из аудитории, это поможет создать диалог и сделает лекцию более интерактивной.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Будьте эмоциональны.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Поддерживайте контакт с аудиторией, используйте п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одходящую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интонацию, жестикуляцию и выразительность, чтобы вызвать эмоциональн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ый от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клик и удер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жат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ь внимание.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2240" w:h="15840" w:orient="portrait"/>
      <w:pgMar w:top="1134" w:right="850" w:bottom="1134" w:left="1701" w:header="720" w:footer="720" w:gutter="0"/>
      <w:pgNumType w:start="1"/>
      <w:cols w:num="1" w:sep="0" w:space="1701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Екатерина Панишева" w:date="2024-07-26T11:04:38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Или какая ситуация имеется в виду? Нужно пояснить</w:t>
      </w:r>
    </w:p>
  </w:comment>
  <w:comment w:id="1" w:author="Екатерина Панишева" w:date="2024-07-26T11:02:14Z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Логичнее сюда перенести. Потому что, если ты уже не попал в ЦА, поздно ее изучать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7522FF5"/>
  <w16cid:commentId w16cid:paraId="00000002" w16cid:durableId="7AEB86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>
      <w:rPr>
        <w:rFonts w:ascii="Times New Roman" w:hAnsi="Times New Roman" w:eastAsia="Times New Roman" w:cs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17" w:right="-372" w:firstLine="0"/>
      <w:jc w:val="center"/>
      <w:spacing w:line="276" w:lineRule="auto"/>
    </w:pPr>
    <w:r>
      <w:rPr>
        <w:rFonts w:ascii="Arial" w:hAnsi="Arial" w:eastAsia="Arial" w:cs="Arial"/>
        <w:sz w:val="22"/>
        <w:szCs w:val="22"/>
      </w:rPr>
      <w:t xml:space="preserve">           </w:t>
      <mc:AlternateContent>
        <mc:Choice Requires="wpg">
          <w:drawing>
            <wp:inline xmlns:wp="http://schemas.openxmlformats.org/drawingml/2006/wordprocessingDrawing" distT="0" distB="0" distL="0" distR="0">
              <wp:extent cx="1891453" cy="7620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891453" cy="762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8.93pt;height:60.0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eastAsia="Arial" w:cs="Arial"/>
        <w:sz w:val="22"/>
        <w:szCs w:val="22"/>
        <w:rtl w:val="0"/>
      </w:rPr>
      <w:t xml:space="preserve"> </w:t>
    </w:r>
    <w:r>
      <w:rPr>
        <w:rFonts w:ascii="Arial" w:hAnsi="Arial" w:eastAsia="Arial" w:cs="Arial"/>
        <w:sz w:val="22"/>
        <w:szCs w:val="22"/>
        <w:rtl w:val="0"/>
      </w:rPr>
      <w:t xml:space="preserve">        </w:t>
    </w:r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720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84"/>
    <w:link w:val="876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84"/>
    <w:link w:val="877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884"/>
    <w:link w:val="878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884"/>
    <w:link w:val="879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884"/>
    <w:link w:val="880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884"/>
    <w:link w:val="881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83"/>
    <w:next w:val="88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8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83"/>
    <w:next w:val="883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84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84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character" w:styleId="718">
    <w:name w:val="Title Char"/>
    <w:basedOn w:val="884"/>
    <w:link w:val="882"/>
    <w:uiPriority w:val="10"/>
    <w:rPr>
      <w:sz w:val="48"/>
      <w:szCs w:val="48"/>
    </w:rPr>
  </w:style>
  <w:style w:type="character" w:styleId="719">
    <w:name w:val="Subtitle Char"/>
    <w:basedOn w:val="884"/>
    <w:link w:val="889"/>
    <w:uiPriority w:val="11"/>
    <w:rPr>
      <w:sz w:val="24"/>
      <w:szCs w:val="24"/>
    </w:rPr>
  </w:style>
  <w:style w:type="paragraph" w:styleId="720">
    <w:name w:val="Quote"/>
    <w:basedOn w:val="883"/>
    <w:next w:val="883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83"/>
    <w:next w:val="883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8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basedOn w:val="884"/>
    <w:link w:val="724"/>
    <w:uiPriority w:val="99"/>
  </w:style>
  <w:style w:type="paragraph" w:styleId="726">
    <w:name w:val="Footer"/>
    <w:basedOn w:val="883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basedOn w:val="884"/>
    <w:link w:val="726"/>
    <w:uiPriority w:val="99"/>
  </w:style>
  <w:style w:type="paragraph" w:styleId="728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0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4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7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1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4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8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83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84"/>
    <w:uiPriority w:val="99"/>
    <w:unhideWhenUsed/>
    <w:rPr>
      <w:vertAlign w:val="superscript"/>
    </w:rPr>
  </w:style>
  <w:style w:type="paragraph" w:styleId="860">
    <w:name w:val="endnote text"/>
    <w:basedOn w:val="883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84"/>
    <w:uiPriority w:val="99"/>
    <w:semiHidden/>
    <w:unhideWhenUsed/>
    <w:rPr>
      <w:vertAlign w:val="superscript"/>
    </w:rPr>
  </w:style>
  <w:style w:type="paragraph" w:styleId="863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74">
    <w:name w:val="Normal"/>
  </w:style>
  <w:style w:type="table" w:styleId="875">
    <w:name w:val="Table Normal"/>
    <w:tblPr/>
  </w:style>
  <w:style w:type="paragraph" w:styleId="876">
    <w:name w:val="Heading 1"/>
    <w:basedOn w:val="874"/>
    <w:next w:val="874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877">
    <w:name w:val="Heading 2"/>
    <w:basedOn w:val="874"/>
    <w:next w:val="874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878">
    <w:name w:val="Heading 3"/>
    <w:basedOn w:val="874"/>
    <w:next w:val="874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879">
    <w:name w:val="Heading 4"/>
    <w:basedOn w:val="874"/>
    <w:next w:val="874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880">
    <w:name w:val="Heading 5"/>
    <w:basedOn w:val="874"/>
    <w:next w:val="874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881">
    <w:name w:val="Heading 6"/>
    <w:basedOn w:val="874"/>
    <w:next w:val="874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882">
    <w:name w:val="Title"/>
    <w:basedOn w:val="874"/>
    <w:next w:val="874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883">
    <w:name w:val="Normal"/>
    <w:qFormat/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Normal (Web)"/>
    <w:basedOn w:val="883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888">
    <w:name w:val="List Paragraph"/>
    <w:basedOn w:val="883"/>
    <w:uiPriority w:val="34"/>
    <w:qFormat/>
    <w:pPr>
      <w:contextualSpacing/>
      <w:ind w:left="720"/>
    </w:pPr>
  </w:style>
  <w:style w:type="paragraph" w:styleId="889">
    <w:name w:val="Subtitle"/>
    <w:basedOn w:val="874"/>
    <w:next w:val="874"/>
    <w:pPr>
      <w:ind w:left="0" w:right="0" w:firstLine="0"/>
      <w:jc w:val="left"/>
      <w:keepLines/>
      <w:keepNext/>
      <w:pageBreakBefore w:val="0"/>
      <w:spacing w:before="360" w:after="80" w:line="240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Georgia" w:hAnsi="Georgia" w:eastAsia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  <w:style w:type="table" w:styleId="890">
    <w:name w:val="StGen3"/>
    <w:basedOn w:val="875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91">
    <w:name w:val="StGen4"/>
    <w:basedOn w:val="875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92">
    <w:name w:val="StGen5"/>
    <w:basedOn w:val="875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png"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ysj2x5P0/yBARrN9mMgM2qBmTg==">CgMxLjAaHwoBMBIaChgICVIUChJ0YWJsZS5qMHM5M2RhZ3hhMzcaHwoBMRIaChgICVIUChJ0YWJsZS42YmYzZGh2dDhhb2MaJwoBMhIiCiAIBCocCgtBQUFCU2NxNHBoWRAIGgtBQUFCU2NxNHBoWRonCgEzEiIKIAgEKhwKC0FBQUJTY3E0cGhjEAgaC0FBQUJTY3E0cGhjIq4HCgtBQUFCU2NxNHBoWRL8BgoLQUFBQlNjcTRwaFkSC0FBQUJTY3E0cGhZGp8BCgl0ZXh0L2h0bWwSkQHQm9C+0LPQuNGH0L3QtdC1INGB0Y7QtNCwINC/0LXRgNC10L3QtdGB0YLQuC4g0J/QvtGC0L7QvNGDINGH0YLQviwg0LXRgdC70Lgg0YLRiyDRg9C20LUg0L3QtSDQv9C+0L/QsNC7INCyINCm0JAsINC/0L7Qt9C00L3QviDQtdC1INC40LfRg9GH0LDRgtGMIqABCgp0ZXh0L3BsYWluEpEB0JvQvtCz0LjRh9C90LXQtSDRgdGO0LTQsCDQv9C10YDQtdC90LXRgdGC0LguINCf0L7RgtC+0LzRgyDRh9GC0L4sINC10YHQu9C4INGC0Ysg0YPQttC1INC90LUg0L/QvtC/0LDQuyDQsiDQptCQLCDQv9C+0LfQtNC90L4g0LXQtSDQuNC30YPRh9Cw0YLRjCobIhUxMTE3OTkxMjQyNjU3NjA0NTA0MDQoADgAMMTM0vWOMjjEzNL1jjJKtAIKCnRleHQvcGxhaW4SpQLQldGB0LvQuCDQtdGB0YLRjCDQstC+0LfQvNC+0LbQvdC+0YHRgtGMLCDQu9GD0YfRiNC1INC40YHRgdC70LXQtNC+0LLQsNGC0Ywg0LDRg9C00LjRgtC+0YDQuNGOINC30LDRgNCw0L3QtdC1OiDQv9C+0L/RgNC+0LHRg9C50YLQtSDQutCw0Log0LzQvtC20L3QviDQsdC+0LvRjNGI0LUg0YPQt9C90LDRgtGMINC+0LEg0LjQvdGC0LXRgNC10YHQsNGFINGB0LvRg9GI0LDRgtC10LvQtdC5LCDRg9GA0L7QstC90LUg0LjRhSDQt9C90LDQvdC40Lkg0Lgg0L7QttC40LTQsNC90LjRj9GFINC+0YIg0LvQtdC60YbQuNC4LloMMXBwY3dscWVxeHRjcgIgAHgAmgEGCAAQABgAqgGUARKRAdCb0L7Qs9C40YfQvdC10LUg0YHRjtC00LAg0L/QtdGA0LXQvdC10YHRgtC4LiDQn9C+0YLQvtC80YMg0YfRgtC+LCDQtdGB0LvQuCDRgtGLINGD0LbQtSDQvdC1INC/0L7Qv9Cw0Lsg0LIg0KbQkCwg0L/QvtC30LTQvdC+INC10LUg0LjQt9GD0YfQsNGC0YywAQC4AQAYxMzS9Y4yIMTM0vWOMjAAQhBraXguajNzb2JoaXBkcmVjIqAECgtBQUFCU2NxNHBoYxLuAwoLQUFBQlNjcTRwaGMSC0FBQUJTY3E0cGhjGmcKCXRleHQvaHRtbBJa0JjQu9C4INC60LDQutCw0Y8g0YHQuNGC0YPQsNGG0LjRjyDQuNC80LXQtdGC0YHRjyDQsiDQstC40LTRgz8g0J3Rg9C20L3QviDQv9C+0Y/RgdC90LjRgtGMImgKCnRleHQvcGxhaW4SWtCY0LvQuCDQutCw0LrQsNGPINGB0LjRgtGD0LDRhtC40Y8g0LjQvNC10LXRgtGB0Y8g0LIg0LLQuNC00YM/INCd0YPQttC90L4g0L/QvtGP0YHQvdC40YLRjCobIhUxMTE3OTkxMjQyNjU3NjA0NTA0MDQoADgAML6s2/WOMji+rNv1jjJKUgoKdGV4dC9wbGFpbhJE0KfRgtC+INC00LXQu9Cw0YLRjCwg0LXRgdC70Lgg0LDRg9C00LjRgtC+0YDQuNGPIMKr0YLRj9C20LXQu9Cw0Y/CuzpaDHd2dXk4MGo1MmkzN3ICIAB4AJoBBggAEAAYAKoBXBJa0JjQu9C4INC60LDQutCw0Y8g0YHQuNGC0YPQsNGG0LjRjyDQuNC80LXQtdGC0YHRjyDQsiDQstC40LTRgz8g0J3Rg9C20L3QviDQv9C+0Y/RgdC90LjRgtGMsAEAuAEAGL6s2/WOMiC+rNv1jjIwAEIQa2l4Lm82aGtya24ya21yaTgAaiEKFHN1Z2dlc3QudXhicDJoOTM0OGdnEglkaWVvcmRlc3NqIQoUc3VnZ2VzdC56YjBoMno4bWpnOTgSCWRpZW9yZGVzc2ohChRzdWdnZXN0LjllOWk3OTc3ZmVxNxIJZGllb3JkZXNzaiEKFHN1Z2dlc3Qua2d6NzkwY2xram5iEglkaWVvcmRlc3NyITExYWotd1NIYjdRLU1US1RacEdza2cwYTVVUWk4RFRs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 Daria</dc:creator>
  <cp:lastModifiedBy>Юлия Прокопова</cp:lastModifiedBy>
  <cp:revision>2</cp:revision>
  <dcterms:created xsi:type="dcterms:W3CDTF">2024-06-28T12:14:00Z</dcterms:created>
  <dcterms:modified xsi:type="dcterms:W3CDTF">2024-09-23T15:44:57Z</dcterms:modified>
</cp:coreProperties>
</file>