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Сценарий занятия на тему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«День Воздушно-десантных войск»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left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left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left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left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Москва, 2024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Цель занятия: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укрепить патриотические ценности молодежи личным примером участника СВО.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Задачи занятия: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●  рассказать о Дне Воздушно-десантных войск Российской Федерации и его истории;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● сформировать чувство гордости за Воздушно-десантные войска России и воспитать уважение к защитникам Отечества;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after="4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● описать ключевые аспекты роли ВДВ РФ в специальной военной операции, подчеркнуть многофункциональность и важность войск как в боевых действиях, так и в поддерживающих миссиях.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after="40"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Формирующиеся ценности: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3"/>
        </w:numPr>
        <w:ind w:left="144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патриотизм;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144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служение Отечеству и ответственность за его судьбу;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144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достоинство, взаимопомощь и взаимоуважение;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144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сохранение исторической памяти: знание истории страны, гордость за ее победы и героев.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44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Целевая аудитория: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12–17 лет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Продолжительность занятия: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45 минут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Рекомендуемая форма занятия: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диалог с героем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Материалы для занятия: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108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презентация;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8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сценарий лекции.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3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Всем добрый день, меня зовут_______!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Наше сегодняшнее занятие посвящено Дню Воздушно-десантных войск Российской Федерации — празднику, который чествует смелость и решительность высочайшего уровня. Не даром десантни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ков причисляют к элитным войскам – их солдаты всегда готовы ринуться в самое сердце вражеской территории. Каждый день службы “голубых беретов” – это испытание на выносливость и мастерство, а прыжки с парашютом и марш-броски для них повседневная реальность.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День Воздушно-десантных войск — это не просто дата в календаре, но и возможность поддерживать живую связь между поколениями десантников,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сохранить их традиции и героический дух. В праздничный день ветераны встречаются с боевыми товарищами, вспоминают погибших сослуживцев и делятся историями с молодыми солдатами. В этих рассказах – стремление к совершенству и готовность к самопожертвованию.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4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здушно-десантные войска (ВДВ) России — это элитные силы, способные решать самые сложные и опасные задачи ради защиты Родины. Их миссия — быть на передовой и выполнять операции любой сложности, зачастую в самых труднодоступных и опасных местах. Ключевая осо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бенность ВДВ заключается в их способности быстро и эффективно десантироваться с самолетов в любую точку и мгновенно вступать в бой. Это требует серьезной подготовки, смелости и высокого профессионализма от каждого бойца, что делает их частью элитных войск.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Одна из основных задач “крыла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той пехоты” — проведение молниеносных атак, чтобы застать врага врасплох и создать условия для его подавления. Используя свой маневренный потенциал, они могут проникать глубоко в тыл противника, нарушая его коммуникации, уничтожая резервы и создавая хаос.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Воздушно-десантные войска также могут быть развернуты для захвата стратегических позиций, таких как мосты, дороги, аэродромы и другие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важные объекты. Это позволяет контролировать территорию и обеспечить продвижение основных сил. Атаки на ключевые объекты инфраструктуры, такие как электростанции, железнодорожные узлы и склады боеприпасов, ослабляют противника и снижают его боеспособность.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ВДВ способны проводить диверсионные операции, направленные на нарушение системы управле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ния и снабжения противника, что приводит к его дезорганизации. Важно отметить, что десантники могут оказывать поддержку морским десантникам, прикрывая их от вражеского огня, и помогать партизанам, снабжая их оружием, обучая и поддерживая в борьбе с врагом.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Все эти задачи тре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буют от каждого бойца высокой степени профессионализма, смелости и готовности рисковать своей жизнью ради защиты Родины. Благодаря своей подготовке и решимости, “голубые береты” остаются одним из самых мощных и мобильных компонентов вооружённых сил России.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5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теперь давайте погрузимся в захватывающую историю Воздушно-десантных войск России.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История создания воздушно-десантных войск и использование парашютов в военных целях началась в начале XX века, ког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да мир вступил в новую эру развития авиации. Парашюты, изначально предназначенные для спасения пилотов, теперь становятся инструментом для воплощения смелых и дерзких замыслов. В 1912 году американский капитан Альберт Берри, подобно первопроходцу, совершае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 первый прыжок с парашютом из самолета, проложив путь для военных инноваций. С совершенствованием технологий парашюты становятся надежными и компактными, что вдохновляет на создание десантных войск, способных проникать в самое сердце вражеской территории.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Военные стратеги, осознав потенциал парашю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тов, видят в них ключ к внезапным атакам и захвату стратегических позиций. Возможность быстро перебрасывать войска за линию фронта или в труднодоступные районы создает неоспоримое преимущество, превращая воздушно-десантные войска в мощный инструмент войны.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8710" cy="19050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848710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6.83pt;height:15.00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Кто знает, когда отмечается день воздушно-десантных войск? (Ответ: 2 августа)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Правильно. Именно 2 августа 1930 года под Воронежем на учениях Московского военного округа происходит событие, которое войдет в историю. В этот день двенадц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ать смельчаков прыгают с парашютами. Этот момент — не просто техническое испытание, но символ новой эры, когда родились Воздушно-десантные войска СССР. День, который стал отправной точкой для создания уникального рода войск, способных изменить ход истории.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После того как эти первые десантники продемонстрировал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свою храбрость, начинается настоящая эпоха перемен. 1931 год становится годом, когда Советский Союз создает первый в мире воздушно-десантный отряд. Серьезный шаг в развитии воздушно-десантных войск пришлось сделать во времена Великой Отечественной войны.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8710" cy="19050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848710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6.83pt;height:15.00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Когда началась Великая Отечественная война? (Ответ: 22 июня 1941 года)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Да, в 1941 году начинается Великая Отечественная война. В этот критический момент создаются первые воздушно-десантные подразделения. Они становятся сильным оружием в военных действиях, способным проводить даже самые трудные операции.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октябре 1944 года ВДВ были преобразованы в отдельную гвардейскую воздушно-десантную армию, вошедшую в состав авиации дальнего действия. За массовый героизм дес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антников в годы Великой Отечественной войны всем воздушно-десантным соединениям присвоены почетные наименования «гвардейских». Тысячи солдат, сержантов и офицеров ВДВ были награждены орденами и медалями, 296 человек удостоены звания Героя Советского Союза.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После войны воздушно-десантные войска продолжают свое развитие. В 1964 году, когда мир пытается обрести спокойствие, ВДВ передали в состав Сухопутных войск СССР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распадом СССР во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здушно-десантные войска сохранили свой статус и продолжили развиваться. Сегодня они являются одним из самых мобильных и боеспособных отдельных родов войск Российской армии, воплощая в себе дух тех первых героев, прыгнувших с парашютами почти 100 лет назад.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6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Ежегодно в России вспоминают подвиги фронтовиков-десантников.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Например, история ефрейтора Алексея Цыбулева. Алексей начал военную службу в 1939 году. В 5-й воздушно-десантной бригаде солдат занимал должность наводчика 76-мм орудия.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10 августа 1941 года в бою под Киевом Цыбулев бил прямой наводкой по зданиям, в которых находились вражеские солдаты, и выбил их с занятых позиций.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следующий раз наводчик отличился 21 сентября 1941 года: в хуторе Крыжки Белопольского района, будучи еще ранее ранен в боях, одним своим орудием принял бой более чем с 20 танкам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и, 5-ю бронемашинами и 18-ю грузовиками немецкой пехоты. В этом бою Алексей получил еще два ранения, но несмотря на это, продолжал вести огонь. Солдат уничтожил три немецких танка, тем самым удержал продвижение танков в тыл нашего 21-го тяжелого Артполка.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 св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ой подвиг 20 ноября 1941 года ефрейтор Цыбулев был удостоен высшей степени отличия – звания Героя Советского Союза. Из-за ошибки в документах Золотая Звезда не была вручена Герою. Награду позже передали его дочери. Цыбулев погиб 27 августа 1944 года в бою.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Среди подвигов ВДВ следует отметить действия российских десантников на территории бывшей Югославии летом 1999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Обстановка на Балканах была напряженной в течение всего 1998 года и особенно обострилась с началом военной операции НАТО против Югославии в марте 1999-го.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Сам исторический "бросок" — переброска сводного батальона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ВДВ из состава российского миротворческого контингента в аэропорт Слатина в 15 км от Приштины — был проведен в ночь на 12 июня. Перед десантной группой стояла задача взять под наблюдение аэродром, проверить, какие у него возможности, кто его контролирует.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В ночь на 12 июня 1999 года передовой отряд ВДВ на БТРах и автомашинах выдвинулся в сторону границы Боснии. За семь с половиной часов 200 российских 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есантников совершили марш-бросок из Боснии и Герцеговины в Косово, преодолев на бронетранспортёрах расстояние почти в 600 километров. Таким образом, они перечеркнули планы НАТО с триумфом войти в сербскую провинцию после нескольких недель её бомбардировок.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Десантники в кратчайшие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 сроки заняли все помещения аэропорта «Слатина», подготовили круговую оборону, организовали блокпосты и приготовились к появлению первых колонн НАТО. Задача по установлению контроля над аэропортом «Слатина» была выполнена к 7 часам утра 12 июня 1999 года.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Всего за четыре часа до прихода колонн войск НАТО.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теперь расскажу вам про героя нашего с вами времени, удостоенного звезды Героя Российской Федерации — гвардии старшего лейтенанта Дениса Скакуновского.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24 февраля 2022 года Денис Скакуновский в составе своего подразделения принимал участие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специальной военной операции по защите Донецкой Народной Республики и Луганской Народной Республики. Неоднократно проявлял мужество и отвагу в боевых действиях против Вооружённых сил Украины (ВСУ), которые его полк вел на территории Херсонской области.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районе одного из населенных пунктов Скакуновский обнаружил и лично уничтожил выстрелом противотанковой управляемой ракет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ы легкобронированный автомобиль с «кочующим» миномётом. Грамотно организованным ведением обороны и точной корректировкой огня артиллерии полка наступающие силы врага были остановлены. В результате были уничтожены 3 БТР, 2 БМП и более 50 человек живой силы.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 время очередной попытки ВСУ прорвать позиции ротного опорного пункта в результате действий офицера было уничтожено 3 танка, 6 БМП, 4 бронеавтомобиля и военнослужащие ВСУ, 8 человек взяты в плен.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Скакуновский продолжает служить в воздушно-десантных войсках.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7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br/>
        <w:t xml:space="preserve">А теперь посмотрим, как устроены воздушно-десантные войска, всегда готовые к выполнению сложных боевых задач.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8710" cy="19050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848710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6.83pt;height:15.00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Кто руководит воздушно-десантными войсками? (Ответ: командующий воздушно-десантными войсками)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Командование Воздушно-десантных войск (ВДВ) России — это ключевой орган управления, подчиняющийся начальнику Генерального штаба Вооружённых Сил России. Каждый командир проходит строгий отбор и подготовку, чтобы стать частью этой мощной боевой машины.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Основу ВДВ составляют воздушно-десантные и десантно-шту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рмовые дивизии. Эти крупные формирования выполняют широкий спектр задач: от захвата и удержания ключевых позиций до поддержки наземных войск. В их состав входят несколько полков, артиллерийские и инженерные подразделения, а также специализированные службы.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Десантно-штурмовые бригады представляют собой более мобильные и ко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мпактные единицы, способные нанести решающий удар в нужное время и месте. Они быстро перемещаются и развёртываются в любых условиях, выполняя оперативные задачи в тылу противника, такие как захват стратегически важных объектов и атаки на вражеские позиции.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Части спе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циального назначения в составе ВДВ появляются там, где их меньше всего ожидают. Эти воины выполняют задачи, требующие высокой степени секретности и специализированной подготовки, включая ликвидацию особо важных целей и проведение разведывательных операций.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Части обеспечения ВДВ отвечают за снабжение, медицинское обслуживание, техническое обслуживание и ремонт. Благодаря их работе войска могут действовать бесперебойно и на пределе своих возможностей.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структуру ВДВ также входят учебные заведения, такие как военные училища и академии, которые готовят будущих офицеров и специалистов.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8710" cy="19050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848710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66.83pt;height:15.00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Чем занимаются военные училища и академии? (Дискуссия с участниками)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Правильно, это кузницы кадров. Данные учреждения готовят высококвали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фицированных командиров и специалистов, способных к выполнению сложных боевых задач. Здесь закладываются основы будущих побед, обновляются знания и навыки, формируются новые лидеры, готовые взять на себя ответственность за будущее воздушно-десантных войск.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8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9"/>
          <w:szCs w:val="29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Сегодня 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  <w:rtl w:val="0"/>
        </w:rPr>
        <w:t xml:space="preserve">военнослужащие Воздушно-десантных войск с честью исполняют воинский долг в ходе специальной военной операции, проявляя мужество и героизм. Десантники защищают национальные интересы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  <w:rtl w:val="0"/>
        </w:rPr>
        <w:t xml:space="preserve"> России и обеспечивают безопасность граждан, самоотверженно служа Отечеству. В зоне СВО подразделения «крылатой пехоты» штурмуют позиции противника, участвуют в оборонительных действиях и пресекают работу вражеских диверсионно-разведывательных групп (ДРГ).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</w:rPr>
      </w:r>
      <w:r>
        <w:rPr>
          <w:rFonts w:ascii="Times New Roman" w:hAnsi="Times New Roman" w:eastAsia="Times New Roman" w:cs="Times New Roman"/>
          <w:sz w:val="29"/>
          <w:szCs w:val="29"/>
          <w:highlight w:val="whit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9"/>
          <w:szCs w:val="29"/>
          <w:highlight w:val="white"/>
        </w:rPr>
      </w:pPr>
      <w:r>
        <w:rPr>
          <w:rFonts w:ascii="Times New Roman" w:hAnsi="Times New Roman" w:eastAsia="Times New Roman" w:cs="Times New Roman"/>
          <w:sz w:val="29"/>
          <w:szCs w:val="29"/>
          <w:highlight w:val="white"/>
          <w:rtl w:val="0"/>
        </w:rPr>
        <w:t xml:space="preserve">Все соединения и ча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  <w:rtl w:val="0"/>
        </w:rPr>
        <w:t xml:space="preserve">сти «голубых беретов» полностью задействованы в СВО на Украине, что свидетельствует о высокой боеспособности данного рода войск. Согласно данным Минобороны РФ, подразделения ВДВ выполняют штурмовые задачи, участвуют в обороне и нередко вступают в бой с пре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  <w:rtl w:val="0"/>
        </w:rPr>
        <w:t xml:space="preserve">восходящими силами противника. Помимо артиллерии, действия десантников поддерживают армейская авиация, танки и беспилотные летательные аппараты (БПЛА). Благодаря такой слаженности на одном из направлений «голубые береты» захватили 17 опорных пунктов врага.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</w:rPr>
      </w:r>
      <w:r>
        <w:rPr>
          <w:rFonts w:ascii="Times New Roman" w:hAnsi="Times New Roman" w:eastAsia="Times New Roman" w:cs="Times New Roman"/>
          <w:sz w:val="29"/>
          <w:szCs w:val="29"/>
          <w:highlight w:val="whit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9"/>
          <w:szCs w:val="29"/>
          <w:highlight w:val="white"/>
        </w:rPr>
      </w:pPr>
      <w:r>
        <w:rPr>
          <w:rFonts w:ascii="Times New Roman" w:hAnsi="Times New Roman" w:eastAsia="Times New Roman" w:cs="Times New Roman"/>
          <w:sz w:val="29"/>
          <w:szCs w:val="29"/>
          <w:highlight w:val="white"/>
          <w:rtl w:val="0"/>
        </w:rPr>
        <w:t xml:space="preserve">Десантники применяют штатную бронетехнику, наносят удары по позициям противника из переносных противотанковых комплексов (ПТРК) и автоматических гранатомётов. ВДВ остаются высокомобильным родом войск, способным устанавливать контроль над вражескими объекта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  <w:rtl w:val="0"/>
        </w:rPr>
        <w:t xml:space="preserve">ми в глубоком тылу. Воздушно-десантные операции основаны на внезапности и способны ошеломить противника, требуя тщательной разведки и уничтожения противовоздушной обороны (ПВО). ВДВ по-прежнему могут успешно высаживаться с вертолётов при огневой поддержке.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</w:rPr>
      </w:r>
      <w:r>
        <w:rPr>
          <w:rFonts w:ascii="Times New Roman" w:hAnsi="Times New Roman" w:eastAsia="Times New Roman" w:cs="Times New Roman"/>
          <w:sz w:val="29"/>
          <w:szCs w:val="29"/>
          <w:highlight w:val="whit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9"/>
          <w:szCs w:val="29"/>
          <w:highlight w:val="white"/>
        </w:rPr>
      </w:pPr>
      <w:r>
        <w:rPr>
          <w:rFonts w:ascii="Times New Roman" w:hAnsi="Times New Roman" w:eastAsia="Times New Roman" w:cs="Times New Roman"/>
          <w:sz w:val="29"/>
          <w:szCs w:val="29"/>
          <w:highlight w:val="white"/>
          <w:rtl w:val="0"/>
        </w:rPr>
        <w:t xml:space="preserve">Личный состав «крыл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  <w:rtl w:val="0"/>
        </w:rPr>
        <w:t xml:space="preserve">атой пехоты» выполняет задачи на северном, центральном и южном направлениях СВО, проявляя стойкость и героизм. Десантники в сотрудничестве с другими родами войск ведут активную оборону, отстаивая каждую пядь земли и нанося урон живой силе и технике врага. </w:t>
      </w:r>
      <w:r>
        <w:rPr>
          <w:rFonts w:ascii="Times New Roman" w:hAnsi="Times New Roman" w:eastAsia="Times New Roman" w:cs="Times New Roman"/>
          <w:sz w:val="29"/>
          <w:szCs w:val="29"/>
          <w:highlight w:val="white"/>
        </w:rPr>
      </w:r>
      <w:r>
        <w:rPr>
          <w:rFonts w:ascii="Times New Roman" w:hAnsi="Times New Roman" w:eastAsia="Times New Roman" w:cs="Times New Roman"/>
          <w:sz w:val="29"/>
          <w:szCs w:val="29"/>
          <w:highlight w:val="whit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Базовые рекомендации по публичным выступлениям </w:t>
        <w:br/>
        <w:t xml:space="preserve">перед разными группами слушателей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8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современном мире, где знания – безусловная ценность, умение эффективно доносить до аудитории информацию является ключевым навыком для любого профессионала.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0" w:firstLine="425"/>
        <w:jc w:val="both"/>
        <w:spacing w:line="26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0" w:firstLine="425"/>
        <w:jc w:val="both"/>
        <w:spacing w:line="26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Взаимодействие с различными возрастными группами во многом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основывается на принципах возрастной психологии, описанной в трудах российских специалистов в области социальной и политической психологии. Ключевую роль в установлении эффективной коммуникации между лектором и аудиторией играет понимание принципов работы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психологических механизмов личности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обладание знаниями об особенностях мышления, восприятия и поведения представителей той или иной социальной группы.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Восприятие лектора аудиторией зависит от уровня ее психологического развития и ведущей деятельности. В Табли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це 1 кратко изложены особенности восприятия информации различными социальными группами, а также даны практические примеры и рекомендации, которые помогут вам установить контакт с любой аудиторией и сделать ваше сообщение более запоминающимся и эффективным.</w:t>
      </w:r>
      <w: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/>
        <w:jc w:val="right"/>
        <w:spacing w:line="266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1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sdt>
      <w:sdtPr>
        <w15:appearance w15:val="boundingBox"/>
        <w:lock w:val="contentLocked"/>
        <w:tag w:val="goog_rdk_0"/>
        <w:rPr/>
      </w:sdtPr>
      <w:sdtContent>
        <w:tbl>
          <w:tblPr>
            <w:tblStyle w:val="882"/>
            <w:tblpPr w:horzAnchor="text" w:tblpX="-6" w:vertAnchor="text" w:tblpY="1" w:leftFromText="180" w:topFromText="180" w:rightFromText="180" w:bottomFromText="180"/>
            <w:tblW w:w="10245" w:type="dxa"/>
            <w:tbl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insideH w:val="none" w:color="000000" w:sz="0" w:space="0"/>
              <w:insideV w:val="none" w:color="000000" w:sz="0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1510"/>
            <w:gridCol w:w="1624"/>
            <w:gridCol w:w="1995"/>
            <w:gridCol w:w="1455"/>
            <w:gridCol w:w="3660"/>
            <w:tblGridChange w:id="0">
              <w:tblGrid>
                <w:gridCol w:w="1510"/>
                <w:gridCol w:w="1624"/>
                <w:gridCol w:w="1995"/>
                <w:gridCol w:w="1455"/>
                <w:gridCol w:w="3660"/>
              </w:tblGrid>
            </w:tblGridChange>
          </w:tblGrid>
          <w:tr>
            <w:tblPrEx/>
            <w:trPr>
              <w:cantSplit w:val="false"/>
              <w:trHeight w:val="460"/>
            </w:trPr>
            <w:tc>
              <w:tcPr>
                <w:gridSpan w:val="5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Особенности восприятия разных возрастных групп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24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Возрастная группа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Ведущая деятельность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Базовая психологическая характеристика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Что ценят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Общие рекомендации для лекторов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24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Дети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(до 12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Игра, учеба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Активны </w:t>
                  <w:br/>
                  <w:t xml:space="preserve">и любознательны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Интерактивные задания </w:t>
                  <w:br/>
                  <w:t xml:space="preserve">и наглядные материалы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Говорите простым языком, выбирайте короткие предложения. Используйте яркие иллюстрации, игры, занимательные упражнения.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59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Подростки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(13–17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Учеба, общение со сверстниками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Часто испытывают сильные эмоции </w:t>
                  <w:br/>
                  <w:t xml:space="preserve">и стремятся </w:t>
                  <w:br/>
                  <w:t xml:space="preserve">к самовыражению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Честность </w:t>
                  <w:br/>
                  <w:t xml:space="preserve">и открытость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right="1098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Используйте реальные примеры и ситуации, понятные подросткам, </w:t>
                  <w:br/>
                  <w:t xml:space="preserve">а также факты и статистику, чтобы сделать свою речь убедительнее. Предоставьте возможность задавать вам вопросы и высказывать свое мнение.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185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Студенты и молодые специалисты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(18–30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Профессиональное становление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В большей степени руководствуются логикой, ценят аргументы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Статус и престиж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Используйте факты и статистику, </w:t>
                  <w:br/>
                  <w:t xml:space="preserve">чтобы сделать свою речь убедительнее. Предоставьте возможности </w:t>
                  <w:br/>
                  <w:t xml:space="preserve">для обсуждения и обмена мнениями.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228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Взрослые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(30–60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Профессиональная реализация, семейная реализация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В большей степени руководствуются логикой, ценят аргументы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Достижения самого лектора, опыт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Учитывайт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е занятость взрослой аудитории и предоставляйте информацию в удобном для слушателей формате. Используйте их опыт и знания в качестве отправной точки для обсуждения. Используйте факты и статистику. Предоставьте возможности </w:t>
                  <w:br/>
                  <w:t xml:space="preserve">для обсуждения и обмена мнениями.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237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Пожилые люди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(60+)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Общение </w:t>
                  <w:br/>
                  <w:t xml:space="preserve">с семьей </w:t>
                  <w:br/>
                  <w:t xml:space="preserve">и друзьями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Ценят уважение </w:t>
                  <w:br/>
                  <w:t xml:space="preserve">и внимание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Богатый жизненный опыт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Учитывайте физическое состояние слушателей и предоставляйте информацию в удобном для них формате. Используйте их опыт и знания в качестве отправной точки для обсуждения. Используйте факты и статистику. Предоставьте возможности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для обсуждения и обмена мнениями.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ind w:right="100"/>
        <w:jc w:val="right"/>
        <w:spacing w:line="266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566"/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Помимо понимания психологических характеристик аудитории, вы должны обратить внимание на свой главный инструмент —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речь.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Большое значе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ние имеют речевые конструкты и метапрограммы (неосознанные фильтры восприятия, которые определяют, как человек воспринимает, организует и использует информацию), которые важно использовать при подготовке тезисов лекции для разных аудиторий (см. Таблицу 2).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2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dt>
      <w:sdtPr>
        <w15:appearance w15:val="boundingBox"/>
        <w:lock w:val="contentLocked"/>
        <w:tag w:val="goog_rdk_1"/>
        <w:rPr/>
      </w:sdtPr>
      <w:sdtContent>
        <w:tbl>
          <w:tblPr>
            <w:tblStyle w:val="883"/>
            <w:tblpPr w:horzAnchor="text" w:tblpXSpec="left" w:vertAnchor="text" w:tblpY="1" w:leftFromText="180" w:topFromText="180" w:rightFromText="180" w:bottomFromText="180"/>
            <w:tblW w:w="10245" w:type="dxa"/>
            <w:tbl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insideH w:val="none" w:color="000000" w:sz="0" w:space="0"/>
              <w:insideV w:val="none" w:color="000000" w:sz="0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2535"/>
            <w:gridCol w:w="3900"/>
            <w:gridCol w:w="3810"/>
            <w:tblGridChange w:id="1">
              <w:tblGrid>
                <w:gridCol w:w="2535"/>
                <w:gridCol w:w="3900"/>
                <w:gridCol w:w="3810"/>
              </w:tblGrid>
            </w:tblGridChange>
          </w:tblGrid>
          <w:tr>
            <w:tblPrEx/>
            <w:trPr>
              <w:cantSplit w:val="false"/>
              <w:trHeight w:val="430"/>
            </w:trPr>
            <w:tc>
              <w:tcPr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Метапрограммы для разных возрастных групп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775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Возрастная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группа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Метапрограммы </w:t>
                  <w:br/>
                  <w:t xml:space="preserve">и ключевые слова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 </w:t>
                  <w:br/>
                  <w:t xml:space="preserve">и интонация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3045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firstLine="141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Дети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firstLine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(до 12 лет)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Фокус на настоящем времени.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сейчас, сегодня, немедленно, сразу, быстро.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Конкретность и простота.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ясно, просто, точно, прямо, понятно.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Фокус на действии и активности.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делать, действовать, двигаться, участвовать, играть.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Любопытство и желание учиться.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узнавать, исследовать, открываться, учиться.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медленный и четкий, </w:t>
                  <w:br/>
                  <w:t xml:space="preserve">с паузами между ключевыми идеями.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Интонации: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разнообразные, с использованием высоких и низких тонов, чтобы привлечь внимание </w:t>
                  <w:br/>
                  <w:t xml:space="preserve">и удержать интерес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385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firstLine="141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Подростки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firstLine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(13-17 лет)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Фокус на будущем.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завтра, впереди, будущее, следующий, предстоящий.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Стремление к независимости и самоутверждению.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самостоятельно, независимо, свободно, уверенно, смело.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Желание принимать причины и следствия.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почему, как, причина, результат, следствие.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Потребность в социальном признании и принадлежности.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вместе, сообщество, команда, поддержка, общение.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средний, с возможностью ускорения </w:t>
                  <w:br/>
                  <w:t xml:space="preserve">для передачи энергии и энтузиазма.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Интонации: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выразительные, с использованием разных тонов и ритма, чтобы передать эмоции </w:t>
                  <w:br/>
                  <w:t xml:space="preserve">и подчеркнуть важные моменты.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845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Студенты и молодые специалисты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(18–30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Взрослые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(30–60 лет)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Практичность и рациональность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эффективно, разумно, практично, целесообразно, логично.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Стремление к достижение целей и успеху.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цель, достижение, успех, победа, результат.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умеренный, с возможностью замедления для подчеркивания важных моментов.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Интонации: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ровные и спокойные, с использованием логических пауз и акцентов для передачи информации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385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Пожилые люди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(60+)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Фокус на прошлом опыте и воспоминаниям.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раньше, когда-то, память, история, прошлое.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Уважение к традициям и авторитетам.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традиции, правила, авторитет, порядок, старшие.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Осторожность и консервативность.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осторожно, безопасно, стабильно, надежно, проверено.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Потребность в эмоциональной поддержке и понимании.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эмпатия, понимание, поддержка, забота, любовь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медленный и четкий, </w:t>
                  <w:br/>
                  <w:t xml:space="preserve">с паузами между ключевыми идеями.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Интонации: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мягкие и спокойные, с использованием низких тонов, чтобы не напрягать слух </w:t>
                  <w:br/>
                  <w:t xml:space="preserve">и создать атмосферу доверия и комфорта.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ind w:left="0" w:firstLine="566"/>
        <w:jc w:val="both"/>
        <w:spacing w:before="240" w:after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Кроме языковых конструктов, на аудиторию производят впечатление невербальные сигналы от лектора: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жесты, дресс-код.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566"/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Вы можете использовать общие правила жестикуляции в зависимости от количества слушателей: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before="24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маленькой группы (4–6 человек) подойдут мелкие жесты, задействующие кисти,  то есть от запястья до кончиков пальцев. В таком тесном кругу слушатели, вероятно, будут более пристально смотреть на ваше лицо, а не на телодвижения.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средней группы (7–40 человек)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еобходимо слегка увеличить масштаб жестов, задействовать не только кисти, но и предплечья. Руки лучше располагать на уровне шеи, движение начинать от локтя. По-прежнему важно контролировать мимику  и выражение лица, так как сидящие близко хорошо его видят.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before="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большой группы (40–100 человек) движения рук должны стать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более крупными  и объемными. Начинайте задействовать верхнюю часть руки, не забывая о предплечьях. Руки желательно держать на уровне плеч и груди. Также рекомендуется использовать окружающее пространство, выходя из-за трибуны и перемещаясь перед зрителями.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Жесты, которых следует избегать при работе с любой аудиторией: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before="24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Руки, спрятанные за спиной, и сложенные на груди руки. Эти два жеста подчеркивают вашу скованность и закрытость, подрывает доверие публики.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Руки в карманах. Это выдает ваше волнение или безразличие к происходящему. Допускается для непринужденности убирать в карман только одну руку, но буквально  на пару минут.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before="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«Лапки кенгуру». Локти прижаты к телу, а кисти робко совершают вялые и мелкие движения. Это выдает вашу неуверенность и скованность.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таблице 3 представлены рекомендации по дресс-коду, которые помогут подготовиться к выступлению для разных возрастных групп.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3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884"/>
        <w:tblW w:w="968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2842"/>
        <w:gridCol w:w="6846"/>
        <w:tblGridChange w:id="2">
          <w:tblGrid>
            <w:gridCol w:w="2842"/>
            <w:gridCol w:w="6846"/>
          </w:tblGrid>
        </w:tblGridChange>
      </w:tblGrid>
      <w:tr>
        <w:tblPrEx/>
        <w:trPr>
          <w:cantSplit w:val="false"/>
          <w:trHeight w:val="4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Рекомендуемый дресс-код при работе с аудиторией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4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Возрастная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Дресс-код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(до 12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Одежда должна быть аккуратной и опрятной, но не слишком формальной. Допус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тима одежда ярких цветов (например бренды армия России, Народный фронт и другие). Избегайте спортивного стиля одежды, шорт, бридж и тапочек, отдайте предпочтение джинсам, брюкам, футболкам, поло, свитшотам, свитерам и более официальным элементам гардероба.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before="24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Подростки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(13-17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Современная и стильная одежда. Можно одеться в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тиле кэжуал, </w:t>
              <w:br/>
              <w:t xml:space="preserve">но с элементами формальности. Цвета могут быть более темными </w:t>
              <w:br/>
              <w:t xml:space="preserve">или нейтральными. Избегайте спортивного стиля одежды, шорт, бридж и тапочек, отдайте брюкам, поло, свитшотам, свитерам, кардиганам, пиджакам и более официальным элементам гардероба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9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Студенты </w:t>
              <w:br/>
              <w:t xml:space="preserve">и молодые  специалисты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(18-30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Взрослые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(30-60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Формальный или полуформальный стиль одежды. Классический костюм (брюки и пиджак), чтобы подчеркнуть серьезность. Цвета могут быть более темными или нейтральными.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Пожилые люди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(60+)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Классический и элегантный стиль одежды. Консервативный костюм.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Приведенные в памятке методы взаимодействия с аудиторией станут для вас отличным подспорьем при подготовке выступления и работе с аудиторией.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Однако следует помнить, что каждый человек уникален и не всегда слушатели могут соответствовать типичным потребностям своей возрастной группы. Поэтому рекомендуется быть гибкими и адаптировать подход к конкретной аудитории.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Если есть возможность, лучше исследовать аудиторию заранее: попробуйте как можно больше узнать об интересах слушателей, уровне их знаний и ожиданиях от лекции.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Что делать, если аудитория «тяжелая»: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Постарайтесь не переживать.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Вдохните и выдохните. Ваша аудитория – это такие же люди, как вы. Они заинтересованы в том, что вы говорите.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Поддерживайте позитивную атмосферу.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Сопровождайте свою информацию уместным юмором и забавными историями, чтобы сделать лекцию более приятной и запоминающейся.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Стимулируйте участие аудитории.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Поощряйте вопросы и комментарии из аудитории, это поможет создать диалог и сделает лекцию более интерактивной.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Будьте эмоциональны.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Поддерживайте контакт с аудиторией, используйте подходящую интонацию, жестикуляцию и выразительность, чтобы вызвать эмоциональный отклик и удержать внимание.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2240" w:h="15840" w:orient="portrait"/>
      <w:pgMar w:top="1134" w:right="850" w:bottom="1134" w:left="1701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rPr>
        <w:rFonts w:ascii="Times New Roman" w:hAnsi="Times New Roman" w:eastAsia="Times New Roman" w:cs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17" w:right="-372" w:firstLine="0"/>
      <w:jc w:val="center"/>
      <w:spacing w:line="276" w:lineRule="auto"/>
    </w:pPr>
    <w:r>
      <w:rPr>
        <w:rFonts w:ascii="Arial" w:hAnsi="Arial" w:eastAsia="Arial" w:cs="Arial"/>
        <w:sz w:val="22"/>
        <w:szCs w:val="22"/>
      </w:rPr>
      <w:t xml:space="preserve">                    </w:t>
      <mc:AlternateContent>
        <mc:Choice Requires="wpg">
          <w:drawing>
            <wp:inline xmlns:wp="http://schemas.openxmlformats.org/drawingml/2006/wordprocessingDrawing" distT="0" distB="0" distL="0" distR="0">
              <wp:extent cx="1891453" cy="762000"/>
              <wp:effectExtent l="0" t="0" r="0" b="0"/>
              <wp:docPr id="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891453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8.93pt;height:60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eastAsia="Arial" w:cs="Arial"/>
        <w:sz w:val="22"/>
        <w:szCs w:val="22"/>
        <w:rtl w:val="0"/>
      </w:rPr>
      <w:t xml:space="preserve"> </w:t>
    </w: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6"/>
    <w:link w:val="868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6"/>
    <w:link w:val="869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876"/>
    <w:link w:val="870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876"/>
    <w:link w:val="871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876"/>
    <w:link w:val="872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876"/>
    <w:link w:val="873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7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76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76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character" w:styleId="710">
    <w:name w:val="Title Char"/>
    <w:basedOn w:val="876"/>
    <w:link w:val="874"/>
    <w:uiPriority w:val="10"/>
    <w:rPr>
      <w:sz w:val="48"/>
      <w:szCs w:val="48"/>
    </w:rPr>
  </w:style>
  <w:style w:type="character" w:styleId="711">
    <w:name w:val="Subtitle Char"/>
    <w:basedOn w:val="876"/>
    <w:link w:val="881"/>
    <w:uiPriority w:val="11"/>
    <w:rPr>
      <w:sz w:val="24"/>
      <w:szCs w:val="24"/>
    </w:rPr>
  </w:style>
  <w:style w:type="paragraph" w:styleId="712">
    <w:name w:val="Quote"/>
    <w:basedOn w:val="875"/>
    <w:next w:val="875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75"/>
    <w:next w:val="875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75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76"/>
    <w:link w:val="716"/>
    <w:uiPriority w:val="99"/>
  </w:style>
  <w:style w:type="paragraph" w:styleId="718">
    <w:name w:val="Footer"/>
    <w:basedOn w:val="875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76"/>
    <w:link w:val="718"/>
    <w:uiPriority w:val="99"/>
  </w:style>
  <w:style w:type="paragraph" w:styleId="720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2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6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9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3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6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0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75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76"/>
    <w:uiPriority w:val="99"/>
    <w:unhideWhenUsed/>
    <w:rPr>
      <w:vertAlign w:val="superscript"/>
    </w:rPr>
  </w:style>
  <w:style w:type="paragraph" w:styleId="852">
    <w:name w:val="endnote text"/>
    <w:basedOn w:val="875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76"/>
    <w:uiPriority w:val="99"/>
    <w:semiHidden/>
    <w:unhideWhenUsed/>
    <w:rPr>
      <w:vertAlign w:val="superscript"/>
    </w:rPr>
  </w:style>
  <w:style w:type="paragraph" w:styleId="855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66">
    <w:name w:val="Normal"/>
  </w:style>
  <w:style w:type="table" w:styleId="867">
    <w:name w:val="Table Normal"/>
    <w:tblPr/>
  </w:style>
  <w:style w:type="paragraph" w:styleId="868">
    <w:name w:val="Heading 1"/>
    <w:basedOn w:val="866"/>
    <w:next w:val="866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869">
    <w:name w:val="Heading 2"/>
    <w:basedOn w:val="866"/>
    <w:next w:val="866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870">
    <w:name w:val="Heading 3"/>
    <w:basedOn w:val="866"/>
    <w:next w:val="866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871">
    <w:name w:val="Heading 4"/>
    <w:basedOn w:val="866"/>
    <w:next w:val="866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872">
    <w:name w:val="Heading 5"/>
    <w:basedOn w:val="866"/>
    <w:next w:val="866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873">
    <w:name w:val="Heading 6"/>
    <w:basedOn w:val="866"/>
    <w:next w:val="866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874">
    <w:name w:val="Title"/>
    <w:basedOn w:val="866"/>
    <w:next w:val="866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875">
    <w:name w:val="Normal"/>
    <w:qFormat/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Normal (Web)"/>
    <w:basedOn w:val="875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880">
    <w:name w:val="List Paragraph"/>
    <w:basedOn w:val="875"/>
    <w:uiPriority w:val="34"/>
    <w:qFormat/>
    <w:pPr>
      <w:contextualSpacing/>
      <w:ind w:left="720"/>
    </w:pPr>
  </w:style>
  <w:style w:type="paragraph" w:styleId="881">
    <w:name w:val="Subtitle"/>
    <w:basedOn w:val="866"/>
    <w:next w:val="866"/>
    <w:pPr>
      <w:ind w:left="0" w:right="0" w:firstLine="0"/>
      <w:jc w:val="left"/>
      <w:keepLines/>
      <w:keepNext/>
      <w:pageBreakBefore w:val="0"/>
      <w:spacing w:before="360" w:after="8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styleId="882">
    <w:name w:val="StGen6"/>
    <w:basedOn w:val="86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83">
    <w:name w:val="StGen7"/>
    <w:basedOn w:val="86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84">
    <w:name w:val="StGen8"/>
    <w:basedOn w:val="86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YQ0dSeAwAVGatd2juHgHYpJVQ==">CgMxLjAaHwoBMBIaChgICVIUChJ0YWJsZS5qMHM5M2RhZ3hhMzcaHwoBMRIaChgICVIUChJ0YWJsZS42YmYzZGh2dDhhb2M4AHIhMUNLMmo3UnNsS1hHa0xVWGxMNDF5dXJhMzFYQjhzVlU0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 Daria</dc:creator>
  <cp:lastModifiedBy>Юлия Прокопова</cp:lastModifiedBy>
  <cp:revision>2</cp:revision>
  <dcterms:created xsi:type="dcterms:W3CDTF">2024-06-28T12:14:00Z</dcterms:created>
  <dcterms:modified xsi:type="dcterms:W3CDTF">2024-09-23T15:45:17Z</dcterms:modified>
</cp:coreProperties>
</file>